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094"/>
      </w:tblGrid>
      <w:tr w:rsidR="00051D37" w:rsidRPr="00051D37" w:rsidTr="00051D37">
        <w:trPr>
          <w:trHeight w:val="330"/>
        </w:trPr>
        <w:tc>
          <w:tcPr>
            <w:tcW w:w="9624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F4B083" w:themeColor="accent2" w:themeTint="99"/>
              <w:right w:val="single" w:sz="12" w:space="0" w:color="ED7D31" w:themeColor="accent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hd w:val="clear" w:color="auto" w:fill="FFFFFF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r w:rsidRPr="00051D37">
              <w:rPr>
                <w:rFonts w:ascii="Times New Roman" w:eastAsia="標楷體" w:hAnsi="Times New Roman" w:cs="Times New Roman"/>
                <w:b/>
                <w:bCs/>
                <w:color w:val="000000"/>
                <w:spacing w:val="24"/>
                <w:kern w:val="0"/>
                <w:szCs w:val="24"/>
                <w:shd w:val="clear" w:color="auto" w:fill="FFFF00"/>
              </w:rPr>
              <w:t>申請</w:t>
            </w:r>
            <w:proofErr w:type="gramStart"/>
            <w:r w:rsidRPr="00051D37">
              <w:rPr>
                <w:rFonts w:ascii="Times New Roman" w:eastAsia="標楷體" w:hAnsi="Times New Roman" w:cs="Times New Roman"/>
                <w:b/>
                <w:bCs/>
                <w:color w:val="000000"/>
                <w:spacing w:val="24"/>
                <w:kern w:val="0"/>
                <w:szCs w:val="24"/>
                <w:shd w:val="clear" w:color="auto" w:fill="FFFF00"/>
              </w:rPr>
              <w:t>超修、低修</w:t>
            </w:r>
            <w:bookmarkEnd w:id="0"/>
            <w:proofErr w:type="gramEnd"/>
          </w:p>
        </w:tc>
      </w:tr>
      <w:tr w:rsidR="00051D37" w:rsidRPr="00051D37" w:rsidTr="00051D37">
        <w:tc>
          <w:tcPr>
            <w:tcW w:w="1530" w:type="dxa"/>
            <w:tcBorders>
              <w:top w:val="single" w:sz="2" w:space="0" w:color="F4B083" w:themeColor="accent2" w:themeTint="99"/>
              <w:left w:val="single" w:sz="12" w:space="0" w:color="ED7D31" w:themeColor="accent2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說明</w:t>
            </w:r>
          </w:p>
        </w:tc>
        <w:tc>
          <w:tcPr>
            <w:tcW w:w="8094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single" w:sz="12" w:space="0" w:color="ED7D31" w:themeColor="accent2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ind w:leftChars="13" w:left="3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學生若因情況特殊，經導師及系、學位學程主任核可者，得《超修》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 xml:space="preserve"> 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或《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 xml:space="preserve"> 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酌減》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 xml:space="preserve"> 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當學期應修習學分數</w:t>
            </w:r>
          </w:p>
        </w:tc>
      </w:tr>
      <w:tr w:rsidR="00051D37" w:rsidRPr="00051D37" w:rsidTr="00051D37">
        <w:tc>
          <w:tcPr>
            <w:tcW w:w="1530" w:type="dxa"/>
            <w:tcBorders>
              <w:top w:val="single" w:sz="2" w:space="0" w:color="F4B083" w:themeColor="accent2" w:themeTint="99"/>
              <w:left w:val="single" w:sz="12" w:space="0" w:color="ED7D31" w:themeColor="accent2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申請程序</w:t>
            </w:r>
          </w:p>
        </w:tc>
        <w:tc>
          <w:tcPr>
            <w:tcW w:w="8094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single" w:sz="12" w:space="0" w:color="ED7D31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numPr>
                <w:ilvl w:val="0"/>
                <w:numId w:val="1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5" w:history="1">
              <w:proofErr w:type="gramStart"/>
              <w:r w:rsidRPr="00051D37">
                <w:rPr>
                  <w:rFonts w:ascii="Times New Roman" w:eastAsia="標楷體" w:hAnsi="Times New Roman" w:cs="Times New Roman"/>
                  <w:color w:val="0000FF"/>
                  <w:spacing w:val="24"/>
                  <w:kern w:val="0"/>
                  <w:szCs w:val="24"/>
                </w:rPr>
                <w:t>超修申請表</w:t>
              </w:r>
              <w:proofErr w:type="gramEnd"/>
              <w:r w:rsidRPr="00051D37">
                <w:rPr>
                  <w:rFonts w:ascii="Times New Roman" w:eastAsia="標楷體" w:hAnsi="Times New Roman" w:cs="Times New Roman"/>
                  <w:color w:val="0000FF"/>
                  <w:spacing w:val="24"/>
                  <w:kern w:val="0"/>
                  <w:szCs w:val="24"/>
                </w:rPr>
                <w:t>下載</w:t>
              </w:r>
            </w:hyperlink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／</w:t>
            </w:r>
            <w:hyperlink r:id="rId6" w:history="1">
              <w:proofErr w:type="gramStart"/>
              <w:r w:rsidRPr="00051D37">
                <w:rPr>
                  <w:rFonts w:ascii="Times New Roman" w:eastAsia="標楷體" w:hAnsi="Times New Roman" w:cs="Times New Roman"/>
                  <w:color w:val="0000FF"/>
                  <w:spacing w:val="24"/>
                  <w:kern w:val="0"/>
                  <w:szCs w:val="24"/>
                </w:rPr>
                <w:t>低修申請表</w:t>
              </w:r>
              <w:proofErr w:type="gramEnd"/>
              <w:r w:rsidRPr="00051D37">
                <w:rPr>
                  <w:rFonts w:ascii="Times New Roman" w:eastAsia="標楷體" w:hAnsi="Times New Roman" w:cs="Times New Roman"/>
                  <w:color w:val="0000FF"/>
                  <w:spacing w:val="24"/>
                  <w:kern w:val="0"/>
                  <w:szCs w:val="24"/>
                </w:rPr>
                <w:t>下載</w:t>
              </w:r>
            </w:hyperlink>
          </w:p>
          <w:p w:rsidR="00051D37" w:rsidRPr="00051D37" w:rsidRDefault="00051D37" w:rsidP="00051D37">
            <w:pPr>
              <w:widowControl/>
              <w:numPr>
                <w:ilvl w:val="0"/>
                <w:numId w:val="1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經導師簽名</w:t>
            </w:r>
          </w:p>
          <w:p w:rsidR="00051D37" w:rsidRPr="00051D37" w:rsidRDefault="00051D37" w:rsidP="00051D37">
            <w:pPr>
              <w:widowControl/>
              <w:numPr>
                <w:ilvl w:val="0"/>
                <w:numId w:val="1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經系主任簽名</w:t>
            </w:r>
          </w:p>
          <w:p w:rsidR="00051D37" w:rsidRPr="00051D37" w:rsidRDefault="00051D37" w:rsidP="00051D37">
            <w:pPr>
              <w:widowControl/>
              <w:numPr>
                <w:ilvl w:val="0"/>
                <w:numId w:val="1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送課</w:t>
            </w: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務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組辦理</w:t>
            </w:r>
          </w:p>
        </w:tc>
      </w:tr>
      <w:tr w:rsidR="00051D37" w:rsidRPr="00051D37" w:rsidTr="00051D37">
        <w:trPr>
          <w:trHeight w:val="654"/>
        </w:trPr>
        <w:tc>
          <w:tcPr>
            <w:tcW w:w="1530" w:type="dxa"/>
            <w:tcBorders>
              <w:top w:val="single" w:sz="2" w:space="0" w:color="F4B083" w:themeColor="accent2" w:themeTint="99"/>
              <w:left w:val="single" w:sz="12" w:space="0" w:color="ED7D31" w:themeColor="accent2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收件截止時間</w:t>
            </w:r>
          </w:p>
        </w:tc>
        <w:tc>
          <w:tcPr>
            <w:tcW w:w="8094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single" w:sz="12" w:space="0" w:color="ED7D31" w:themeColor="accent2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numPr>
                <w:ilvl w:val="0"/>
                <w:numId w:val="2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加退選期間：於加退選截止前送課</w:t>
            </w: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務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組辦理</w:t>
            </w:r>
          </w:p>
          <w:p w:rsidR="00051D37" w:rsidRPr="00051D37" w:rsidRDefault="00051D37" w:rsidP="00051D37">
            <w:pPr>
              <w:widowControl/>
              <w:numPr>
                <w:ilvl w:val="0"/>
                <w:numId w:val="2"/>
              </w:numPr>
              <w:spacing w:line="360" w:lineRule="exact"/>
              <w:ind w:left="75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停修期間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：</w:t>
            </w: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於停修截止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日前送課</w:t>
            </w: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務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組辦理</w:t>
            </w:r>
          </w:p>
        </w:tc>
      </w:tr>
      <w:tr w:rsidR="00051D37" w:rsidRPr="00051D37" w:rsidTr="00051D37">
        <w:trPr>
          <w:trHeight w:val="849"/>
        </w:trPr>
        <w:tc>
          <w:tcPr>
            <w:tcW w:w="1530" w:type="dxa"/>
            <w:tcBorders>
              <w:top w:val="single" w:sz="2" w:space="0" w:color="F4B083" w:themeColor="accent2" w:themeTint="99"/>
              <w:left w:val="single" w:sz="12" w:space="0" w:color="ED7D31" w:themeColor="accent2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不符</w:t>
            </w:r>
            <w:proofErr w:type="gramStart"/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規定</w:t>
            </w: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  <w:lang w:eastAsia="zh-HK"/>
              </w:rPr>
              <w:t>超修</w:t>
            </w:r>
            <w:proofErr w:type="gramEnd"/>
          </w:p>
        </w:tc>
        <w:tc>
          <w:tcPr>
            <w:tcW w:w="8094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single" w:sz="12" w:space="0" w:color="ED7D31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ind w:leftChars="13" w:left="3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Cs/>
                <w:color w:val="000000"/>
                <w:spacing w:val="24"/>
                <w:kern w:val="0"/>
                <w:szCs w:val="24"/>
              </w:rPr>
              <w:t>不符規定或未經核</w:t>
            </w:r>
            <w:proofErr w:type="gramStart"/>
            <w:r w:rsidRPr="00051D37">
              <w:rPr>
                <w:rFonts w:ascii="Times New Roman" w:eastAsia="標楷體" w:hAnsi="Times New Roman" w:cs="Times New Roman"/>
                <w:bCs/>
                <w:color w:val="000000"/>
                <w:spacing w:val="24"/>
                <w:kern w:val="0"/>
                <w:szCs w:val="24"/>
              </w:rPr>
              <w:t>可超修者</w:t>
            </w:r>
            <w:proofErr w:type="gramEnd"/>
            <w:r w:rsidRPr="00051D37">
              <w:rPr>
                <w:rFonts w:ascii="Times New Roman" w:eastAsia="標楷體" w:hAnsi="Times New Roman" w:cs="Times New Roman"/>
                <w:bCs/>
                <w:color w:val="000000"/>
                <w:spacing w:val="24"/>
                <w:kern w:val="0"/>
                <w:szCs w:val="24"/>
              </w:rPr>
              <w:t>，加退選結束後，由電腦就選修（非必修）科目中，隨機刪除至</w:t>
            </w:r>
            <w:proofErr w:type="gramStart"/>
            <w:r w:rsidRPr="00051D37">
              <w:rPr>
                <w:rFonts w:ascii="Times New Roman" w:eastAsia="標楷體" w:hAnsi="Times New Roman" w:cs="Times New Roman"/>
                <w:bCs/>
                <w:color w:val="000000"/>
                <w:spacing w:val="24"/>
                <w:kern w:val="0"/>
                <w:szCs w:val="24"/>
              </w:rPr>
              <w:t>不超修</w:t>
            </w:r>
            <w:proofErr w:type="gramEnd"/>
            <w:r w:rsidRPr="00051D37">
              <w:rPr>
                <w:rFonts w:ascii="Times New Roman" w:eastAsia="標楷體" w:hAnsi="Times New Roman" w:cs="Times New Roman"/>
                <w:bCs/>
                <w:color w:val="000000"/>
                <w:spacing w:val="24"/>
                <w:kern w:val="0"/>
                <w:szCs w:val="24"/>
              </w:rPr>
              <w:t>，不得異議。</w:t>
            </w:r>
          </w:p>
        </w:tc>
      </w:tr>
      <w:tr w:rsidR="00051D37" w:rsidRPr="00051D37" w:rsidTr="00051D37">
        <w:trPr>
          <w:trHeight w:val="561"/>
        </w:trPr>
        <w:tc>
          <w:tcPr>
            <w:tcW w:w="1530" w:type="dxa"/>
            <w:tcBorders>
              <w:top w:val="single" w:sz="2" w:space="0" w:color="F4B083" w:themeColor="accent2" w:themeTint="99"/>
              <w:left w:val="single" w:sz="12" w:space="0" w:color="ED7D31" w:themeColor="accent2"/>
              <w:bottom w:val="single" w:sz="12" w:space="0" w:color="ED7D31" w:themeColor="accent2"/>
              <w:right w:val="single" w:sz="2" w:space="0" w:color="F4B083" w:themeColor="accent2" w:themeTint="99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不符</w:t>
            </w:r>
            <w:proofErr w:type="gramStart"/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</w:rPr>
              <w:t>規</w:t>
            </w:r>
            <w:r w:rsidRPr="00051D37">
              <w:rPr>
                <w:rFonts w:ascii="Times New Roman" w:eastAsia="標楷體" w:hAnsi="Times New Roman" w:cs="Times New Roman"/>
                <w:b/>
                <w:color w:val="000000"/>
                <w:spacing w:val="24"/>
                <w:kern w:val="0"/>
                <w:szCs w:val="24"/>
                <w:lang w:eastAsia="zh-HK"/>
              </w:rPr>
              <w:t>定低修</w:t>
            </w:r>
            <w:proofErr w:type="gramEnd"/>
          </w:p>
        </w:tc>
        <w:tc>
          <w:tcPr>
            <w:tcW w:w="8094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D37" w:rsidRPr="00051D37" w:rsidRDefault="00051D37" w:rsidP="00051D37">
            <w:pPr>
              <w:widowControl/>
              <w:spacing w:line="360" w:lineRule="exact"/>
              <w:ind w:leftChars="13" w:left="3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  <w:lang w:eastAsia="zh-HK"/>
              </w:rPr>
              <w:t>不符</w:t>
            </w:r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規定或未經核</w:t>
            </w:r>
            <w:proofErr w:type="gramStart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可低修者</w:t>
            </w:r>
            <w:proofErr w:type="gramEnd"/>
            <w:r w:rsidRPr="00051D37">
              <w:rPr>
                <w:rFonts w:ascii="Times New Roman" w:eastAsia="標楷體" w:hAnsi="Times New Roman" w:cs="Times New Roman"/>
                <w:color w:val="000000"/>
                <w:spacing w:val="24"/>
                <w:kern w:val="0"/>
                <w:szCs w:val="24"/>
              </w:rPr>
              <w:t>，選課視為無效</w:t>
            </w:r>
          </w:p>
        </w:tc>
      </w:tr>
    </w:tbl>
    <w:p w:rsidR="00051D37" w:rsidRPr="00051D37" w:rsidRDefault="00051D37" w:rsidP="00051D37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051D37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 </w:t>
      </w:r>
    </w:p>
    <w:p w:rsidR="00051D37" w:rsidRPr="00051D37" w:rsidRDefault="00051D37" w:rsidP="00051D37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hyperlink r:id="rId7" w:history="1">
        <w:r w:rsidRPr="00051D37">
          <w:rPr>
            <w:rFonts w:ascii="Times New Roman" w:eastAsia="標楷體" w:hAnsi="Times New Roman" w:cs="Times New Roman"/>
            <w:color w:val="0000FF"/>
            <w:spacing w:val="15"/>
            <w:kern w:val="0"/>
            <w:szCs w:val="24"/>
            <w:shd w:val="clear" w:color="auto" w:fill="FFFFFF"/>
          </w:rPr>
          <w:t>【</w:t>
        </w:r>
        <w:r w:rsidRPr="00051D37">
          <w:rPr>
            <w:rFonts w:ascii="Times New Roman" w:eastAsia="標楷體" w:hAnsi="Times New Roman" w:cs="Times New Roman"/>
            <w:b/>
            <w:bCs/>
            <w:color w:val="0000FF"/>
            <w:spacing w:val="15"/>
            <w:kern w:val="0"/>
            <w:szCs w:val="24"/>
            <w:shd w:val="clear" w:color="auto" w:fill="FFFFFF"/>
          </w:rPr>
          <w:t xml:space="preserve">105 </w:t>
        </w:r>
        <w:r w:rsidRPr="00051D37">
          <w:rPr>
            <w:rFonts w:ascii="Times New Roman" w:eastAsia="標楷體" w:hAnsi="Times New Roman" w:cs="Times New Roman"/>
            <w:b/>
            <w:bCs/>
            <w:color w:val="0000FF"/>
            <w:spacing w:val="15"/>
            <w:kern w:val="0"/>
            <w:szCs w:val="24"/>
            <w:shd w:val="clear" w:color="auto" w:fill="FFFFFF"/>
          </w:rPr>
          <w:t>學年度第</w:t>
        </w:r>
        <w:r w:rsidRPr="00051D37">
          <w:rPr>
            <w:rFonts w:ascii="Times New Roman" w:eastAsia="標楷體" w:hAnsi="Times New Roman" w:cs="Times New Roman"/>
            <w:b/>
            <w:bCs/>
            <w:color w:val="0000FF"/>
            <w:spacing w:val="15"/>
            <w:kern w:val="0"/>
            <w:szCs w:val="24"/>
            <w:shd w:val="clear" w:color="auto" w:fill="FFFFFF"/>
          </w:rPr>
          <w:t xml:space="preserve"> 3 </w:t>
        </w:r>
        <w:r w:rsidRPr="00051D37">
          <w:rPr>
            <w:rFonts w:ascii="Times New Roman" w:eastAsia="標楷體" w:hAnsi="Times New Roman" w:cs="Times New Roman"/>
            <w:b/>
            <w:bCs/>
            <w:color w:val="0000FF"/>
            <w:spacing w:val="15"/>
            <w:kern w:val="0"/>
            <w:szCs w:val="24"/>
            <w:shd w:val="clear" w:color="auto" w:fill="FFFFFF"/>
          </w:rPr>
          <w:t>次教務會議</w:t>
        </w:r>
        <w:r w:rsidRPr="00051D37">
          <w:rPr>
            <w:rFonts w:ascii="Times New Roman" w:eastAsia="標楷體" w:hAnsi="Times New Roman" w:cs="Times New Roman"/>
            <w:color w:val="0000FF"/>
            <w:spacing w:val="15"/>
            <w:kern w:val="0"/>
            <w:szCs w:val="24"/>
            <w:shd w:val="clear" w:color="auto" w:fill="FFFFFF"/>
          </w:rPr>
          <w:t>】</w:t>
        </w:r>
      </w:hyperlink>
    </w:p>
    <w:p w:rsidR="005228E5" w:rsidRPr="00051D37" w:rsidRDefault="00051D37" w:rsidP="00051D37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051D37">
        <w:rPr>
          <w:rFonts w:ascii="Times New Roman" w:eastAsia="標楷體" w:hAnsi="Times New Roman" w:cs="Times New Roman"/>
          <w:kern w:val="0"/>
          <w:szCs w:val="24"/>
        </w:rPr>
        <w:t> </w:t>
      </w:r>
    </w:p>
    <w:sectPr w:rsidR="005228E5" w:rsidRPr="00051D37" w:rsidSect="00051D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A59BC"/>
    <w:multiLevelType w:val="multilevel"/>
    <w:tmpl w:val="84F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F72E3"/>
    <w:multiLevelType w:val="multilevel"/>
    <w:tmpl w:val="924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37"/>
    <w:rsid w:val="00051D37"/>
    <w:rsid w:val="005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021E7-875E-4752-8FA2-2648270B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D3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51D3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51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gaa.web.nthu.edu.tw/ezfiles/74/1074/img/293/1053REC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ricul.web.nthu.edu.tw/ezfiles/73/1073/img/209/underloadapplication_106.pdf" TargetMode="External"/><Relationship Id="rId5" Type="http://schemas.openxmlformats.org/officeDocument/2006/relationships/hyperlink" Target="http://curricul.web.nthu.edu.tw/ezfiles/73/1073/img/209/overloadapplication_10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2018-10-06T14:08:00Z</dcterms:created>
  <dcterms:modified xsi:type="dcterms:W3CDTF">2018-10-06T14:11:00Z</dcterms:modified>
</cp:coreProperties>
</file>